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Руководство по соблюдению обязательных требований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территории муниципального образования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 w:eastAsia="ru-RU"/>
        </w:rPr>
        <w:t>Палкинский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район»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Организация и осуществление муниципального контроля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на территории муниципального образования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 w:eastAsia="ru-RU"/>
        </w:rPr>
        <w:t>Палкинский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район»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регулируются Федеральным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i w:val="false"/>
            <w:iCs w:val="false"/>
            <w:sz w:val="28"/>
            <w:szCs w:val="28"/>
          </w:rPr>
          <w:t>законом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u w:val="none"/>
        </w:rPr>
        <w:t xml:space="preserve">Предметом муниципального контроля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в области охраны и использования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  <w:lang w:val="ru-RU"/>
        </w:rPr>
        <w:t>муниципального образования «Палкинский район»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u w:val="none"/>
        </w:rPr>
        <w:t xml:space="preserve"> (далее -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 особо охраняемые природные территории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u w:val="none"/>
        </w:rPr>
        <w:t>),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  <w:lang w:val="ru-RU"/>
        </w:rPr>
        <w:t xml:space="preserve">Псковской области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в области охраны и использования особо охраняемых природных территорий, касающихся:</w:t>
      </w:r>
    </w:p>
    <w:p>
      <w:pPr>
        <w:pStyle w:val="ConsPlusNormal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- режима особо охраняемой природной территории;</w:t>
      </w:r>
    </w:p>
    <w:p>
      <w:pPr>
        <w:pStyle w:val="ConsPlusNormal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>
      <w:pPr>
        <w:pStyle w:val="ConsPlusNormal"/>
        <w:spacing w:lineRule="auto" w:line="24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cs="Times New Roman" w:ascii="Times New Roman" w:hAnsi="Times New Roman"/>
          <w:i w:val="false"/>
          <w:iCs w:val="false"/>
          <w:color w:val="333333"/>
          <w:sz w:val="28"/>
          <w:szCs w:val="28"/>
          <w:u w:val="none"/>
        </w:rPr>
        <w:t>- режима охранных зон особо охраняемых природных территорий.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color w:val="262626"/>
          <w:sz w:val="28"/>
          <w:szCs w:val="28"/>
          <w:shd w:fill="FFFFFF" w:val="clear"/>
        </w:rPr>
        <w:t>Объектами муниципального контроля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 области охраны и использования особо охраняемых природных территорий</w:t>
      </w:r>
      <w:r>
        <w:rPr>
          <w:rFonts w:cs="Times New Roman" w:ascii="Times New Roman" w:hAnsi="Times New Roman"/>
          <w:i w:val="false"/>
          <w:iCs w:val="false"/>
          <w:color w:val="262626"/>
          <w:sz w:val="28"/>
          <w:szCs w:val="28"/>
          <w:shd w:fill="FFFFFF" w:val="clear"/>
        </w:rPr>
        <w:t> являются: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color w:val="262626"/>
          <w:sz w:val="28"/>
          <w:szCs w:val="28"/>
          <w:shd w:fill="FFFFFF" w:val="clear"/>
        </w:rPr>
        <w:t xml:space="preserve">1)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особо охраняемые природные территории;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требования; </w:t>
      </w:r>
    </w:p>
    <w:p>
      <w:pPr>
        <w:pStyle w:val="ConsPlusNormal"/>
        <w:spacing w:lineRule="auto" w:line="24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- режима охранных зон особо охраняемых природных территорий;</w:t>
      </w:r>
    </w:p>
    <w:p>
      <w:pPr>
        <w:pStyle w:val="ConsPlusNormal"/>
        <w:spacing w:lineRule="auto" w:line="24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Порядок исполнения муниципальной функции по осуществлению муниципального контроля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>на территории муниципального образования «Палкинский район» определен Решением Собрания депутатов Палкинского района от 26.11.2021года № 1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>74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«Об утверждении Положения о муниципальном контроле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>на территории муниципального образования «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/>
        </w:rPr>
        <w:t>Палкинский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 район»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Муниципальный контроль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>на территории муниципального образования «Палкинский район»</w:t>
      </w:r>
      <w:r>
        <w:rPr>
          <w:rStyle w:val="Hyperlink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осуществляется администрацией Палкинского района,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Плановые контрольные мероприятия в рамках муниципального  контрол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/>
        </w:rPr>
        <w:t xml:space="preserve">в области охраны и использования особо охраняемых природных территорий местного значения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>на территории муниципального образования «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/>
        </w:rPr>
        <w:t>Палкинский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 район»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не проводятся.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Внеплановые контрольные мероприятия проводится только после согласования с органами прокуратуры.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Приказом главного государственного жилищного инспектора Российской Федерации об организации выполнения поручения Президента Российской Федерации, Председателя Правительства Российской Федерации могут быть конкретизированы порядок и (или) сроки проведения контрольных мероприятий муниципального жилищного контроля (если в отношении проведения таких контрольных мероприятий соответственно поручением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Президента Российской Федерации или поручением Правительства Российской Федерации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не установлено иное)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1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e5063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5063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50633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e506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216a8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216a8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389501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LibreOffice/7.6.4.1$Windows_X86_64 LibreOffice_project/e19e193f88cd6c0525a17fb7a176ed8e6a3e2aa1</Application>
  <AppVersion>15.0000</AppVersion>
  <Pages>3</Pages>
  <Words>676</Words>
  <Characters>5378</Characters>
  <CharactersWithSpaces>6040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2020-09-30T08:27:00Z</dcterms:created>
  <dc:creator>1</dc:creator>
  <dc:description/>
  <dc:language>ru-RU</dc:language>
  <cp:lastModifiedBy/>
  <cp:lastPrinted>2025-02-05T15:07:30Z</cp:lastPrinted>
  <dcterms:modified xsi:type="dcterms:W3CDTF">2025-02-05T15:07:43Z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