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1" w:hanging="0"/>
        <w:jc w:val="center"/>
        <w:rPr>
          <w:b/>
        </w:rPr>
      </w:pPr>
      <w:r>
        <w:rPr>
          <w:b/>
        </w:rPr>
      </w:r>
    </w:p>
    <w:p>
      <w:pPr>
        <w:pStyle w:val="Normal"/>
        <w:ind w:right="-1"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</w:r>
    </w:p>
    <w:p>
      <w:pPr>
        <w:pStyle w:val="Normal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</w:r>
    </w:p>
    <w:p>
      <w:pPr>
        <w:pStyle w:val="Normal"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b/>
          <w:sz w:val="32"/>
          <w:szCs w:val="28"/>
        </w:rPr>
        <w:t xml:space="preserve">Памятка по организации и проведению строительных </w:t>
      </w:r>
    </w:p>
    <w:p>
      <w:pPr>
        <w:pStyle w:val="Normal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и земляных работ в охранной зоне ЛЭП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в охранных зонах ЛЭП разрешаются только после согласования с сетевой организацией. Необходимо подать в Псковский филиал ПАО «Россети Северо-Запад» письменное заявление и проектную документацию не позднее чем за 15 рабочих дней до начала работ.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оформление проектной документации, в соответствии с законодательством о   градостроительной   деятельности   не     является обязательным, следует приложить к заявлению сведения   о параметрах объекта, о сроках и объемах работ. Лица, получившие решение о согласовании строительных работ в охранных зонах, обязаны обеспечить сохранность объектов электросетевого хозяйства.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Несанкционированные работы в охранных зонах являются административным правонарушением.  При обнаружении данных фактов, сетевая организация обращается в федеральный орган исполнительной власти, уполномоченный на осуществление технического контроля и надзора в электроэнергетике и подает заявление в суд о возмещении ущерба.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Помните, несанкционированные работы в охранных зонах могут повлечь за собой не только отключение абонентов от электроснабжения, но и гибель людей от поражения электрическим током.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Охранная зона проходит вдоль каждой ЛЭП и находится по обе стороны от крайних проводов и изменяется в зависимости от уровня напряжения линии: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0,4 киловольта (1 изолятор, 4 или 5 проводов): охранная зона составляет по 2 метра в обе стороны от крайних проводов.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6 - 10 киловольт (1 изолятор, 3 провода): охранная зона – по 10 метров в обе стороны от крайних проводов.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35 киловольт (3 изолятора, три провода, высота опоры до 15 метров): охранная зона – по 15 метров от крайних проводов.</w:t>
      </w:r>
    </w:p>
    <w:p>
      <w:pPr>
        <w:pStyle w:val="ListParagraph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110 киловольт (5-7 изоляторов, три провода, высота опоры до 20 метров): охранная зона – по 20 метров в обе стороны от крайних проводов.</w:t>
      </w:r>
    </w:p>
    <w:p>
      <w:pPr>
        <w:sectPr>
          <w:headerReference w:type="default" r:id="rId2"/>
          <w:type w:val="nextPage"/>
          <w:pgSz w:w="11906" w:h="16838"/>
          <w:pgMar w:left="1134" w:right="567" w:gutter="0" w:header="708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напряжение на ВЛ можно по следующим признакам:</w:t>
      </w:r>
    </w:p>
    <w:p>
      <w:pPr>
        <w:pStyle w:val="Normal"/>
        <w:spacing w:before="0" w:after="0"/>
        <w:ind w:firstLine="709"/>
        <w:contextualSpacing/>
        <w:jc w:val="both"/>
        <w:rPr>
          <w:sz w:val="18"/>
          <w:szCs w:val="28"/>
        </w:rPr>
      </w:pPr>
      <w:r>
        <w:rPr>
          <w:sz w:val="18"/>
          <w:szCs w:val="28"/>
        </w:rPr>
      </w:r>
    </w:p>
    <w:p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Провода ВЛ в сетях с напряжением до 35 кВ крепят на изоляторах сверху:</w:t>
      </w:r>
    </w:p>
    <w:p>
      <w:pPr>
        <w:pStyle w:val="ListParagraph"/>
        <w:ind w:left="10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ind w:left="0" w:hanging="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3314700" cy="2486660"/>
            <wp:effectExtent l="0" t="0" r="0" b="0"/>
            <wp:docPr id="3" name="Рисунок 3" descr="D:\Специалист по ОТ\PISMO\2024\О предупреждении травматизма стор лиц_сент\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D:\Специалист по ОТ\PISMO\2024\О предупреждении травматизма стор лиц_сент\17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10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При напряжении в 35 кВ и более провода подвешивают на изоляторах:</w:t>
      </w:r>
    </w:p>
    <w:p>
      <w:pPr>
        <w:pStyle w:val="ListParagraph"/>
        <w:ind w:left="1069" w:hanging="0"/>
        <w:rPr>
          <w:sz w:val="20"/>
          <w:szCs w:val="28"/>
        </w:rPr>
      </w:pPr>
      <w:r>
        <w:rPr>
          <w:sz w:val="20"/>
          <w:szCs w:val="28"/>
        </w:rPr>
      </w:r>
    </w:p>
    <w:p>
      <w:pPr>
        <w:pStyle w:val="ListParagraph"/>
        <w:ind w:left="0" w:hanging="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3410585" cy="2560320"/>
            <wp:effectExtent l="0" t="0" r="0" b="0"/>
            <wp:docPr id="4" name="Рисунок 4" descr="D:\Специалист по ОТ\PISMO\2024\О предупреждении травматизма стор лиц_сент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D:\Специалист по ОТ\PISMO\2024\О предупреждении травматизма стор лиц_сент\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0585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ind w:left="10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Чем больше число изоляторов, тем больше напряжение:</w:t>
      </w:r>
    </w:p>
    <w:p>
      <w:pPr>
        <w:pStyle w:val="ListParagraph"/>
        <w:ind w:left="1069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567" w:gutter="0" w:header="425" w:top="527" w:footer="0" w:bottom="851"/>
          <w:pgNumType w:fmt="decimal"/>
          <w:formProt w:val="false"/>
          <w:textDirection w:val="lrTb"/>
          <w:docGrid w:type="default" w:linePitch="360" w:charSpace="0"/>
        </w:sectPr>
        <w:pStyle w:val="ListParagraph"/>
        <w:ind w:left="0" w:hanging="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3300095" cy="2202180"/>
            <wp:effectExtent l="0" t="0" r="0" b="0"/>
            <wp:docPr id="5" name="Рисунок 5" descr="D:\Специалист по ОТ\PISMO\2024\О предупреждении травматизма стор лиц_сент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D:\Специалист по ОТ\PISMO\2024\О предупреждении травматизма стор лиц_сент\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220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Строительные и грузоподъемные работы в охранных зонах ВЛ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/>
        <w:drawing>
          <wp:inline distT="0" distB="0" distL="0" distR="0">
            <wp:extent cx="2380615" cy="2406650"/>
            <wp:effectExtent l="0" t="0" r="0" b="0"/>
            <wp:docPr id="6" name="Рисунок 1" descr="D:\Специалист по ОТ\PISMO\2024\О предупреждении травматизма стор лиц_сент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D:\Специалист по ОТ\PISMO\2024\О предупреждении травматизма стор лиц_сент\1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1134" w:leader="none"/>
        </w:tabs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Согласование работ: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Прежде чем приступить к производству работ машинами с грузоподъемными приспособлениями вблизи линии электропередачи руководство предприятия или организации должно издать приказ о порядке безопасного выполнения работ вблизи линий электропередачи и провести инструктаж.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Водитель или механизатор вместе с путевым листом должен получить наряд-допуск на производство работ, согласованный с «Россети Северо-Запад». В этом документе организация, эксплуатирующая воздушные линии электропередачи, дает разрешение на производство работ и определяет условия их производства.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Работы должны выполняться под руководством лица, ответственного по предприятию за безопасное производство работ с грузоподъемными механизмами. Ответственный показывает место установки крана и производит соответствующую запись в вахтенном журнале о разрешении работ.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установке грузоподъемных кранов в охранной зоне воздушной линии электропередачи необходимо снять напряжение с воздушной линии электропередачи.</w:t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оснастить краны и подъемные механизмы устройством, сигнализирующим об опасном приближении к находящимся под напряжением проводам или устройством, отключающим механизмы при опасном приближении к проводам, находящимся под напряжением.</w:t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Сигнал «Стоп» следует выполнить независимо от того, кто его подает.</w:t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строительных работ машин с грузоподъемными механизмами в охранных зонах воздушных линий электропередачи запрещается: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находиться обслуживающему персоналу на машине вне кабины или защитного козырька;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ремонтно-профилактические работы на машине;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во время грозы или при приближении грозы;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в пролетах воздушных линий, имеющих оборванные провода, а также приближаться к опорам, имеющим оборванные провода, и к оборванным проводам, лежащим на земле, на расстояние менее 8 м;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приближаться к дереву, лежащему на проводах на расстояние менее 8 м;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на под проводами воздушных линий, на участках, имеющих резко неровный рельеф, а также наезжать на бугры высотой более 1 м;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устанавливать стрелковый кран в охранной зоне линии электропередачи на аутригеры и расцепление стропов с привлечением стропальщика.</w:t>
      </w:r>
    </w:p>
    <w:p>
      <w:pPr>
        <w:pStyle w:val="Normal"/>
        <w:tabs>
          <w:tab w:val="clear" w:pos="709"/>
          <w:tab w:val="left" w:pos="1134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работы в охранных зонах КЛ</w:t>
      </w:r>
    </w:p>
    <w:p>
      <w:pPr>
        <w:pStyle w:val="Normal"/>
        <w:tabs>
          <w:tab w:val="clear" w:pos="709"/>
          <w:tab w:val="left" w:pos="113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jc w:val="center"/>
        <w:rPr>
          <w:sz w:val="28"/>
          <w:szCs w:val="28"/>
        </w:rPr>
      </w:pPr>
      <w:r>
        <w:rPr/>
        <w:drawing>
          <wp:inline distT="0" distB="0" distL="0" distR="0">
            <wp:extent cx="3286760" cy="2268855"/>
            <wp:effectExtent l="0" t="0" r="0" b="0"/>
            <wp:docPr id="7" name="Рисунок 2" descr="D:\Специалист по ОТ\PISMO\2024\О предупреждении травматизма стор лиц_сент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 descr="D:\Специалист по ОТ\PISMO\2024\О предупреждении травматизма стор лиц_сент\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760" cy="226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113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Согласование работ: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началом работы бульдозером и экскаватором необходимо получить сведения о подземных коммуникациях.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Земляные работы на глубине более 0,3 метра требуют согласования с сетевой организацией - «Россети Северо-Запад».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работы в охранной зоне кабельной линий электропередачи можно только по наряду-допуску организации, в ведении которой находится линия электропередачи и под руководством руководителя работ или мастера.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земляных работ в городах и районных центрах, где сосредоточено большое количество различного рода подземных коммуникаций, недопустимо без предварительного согласования с энергокомпанией и без выезда представителя энергокомпании непосредственно на место проведения работ.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работы бульдозерист обязан выполнять работу и передвигаться по площадке только в местах, указанных производителем работ или мастером, строго придерживаться разбивочных знаков.</w:t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земельных работ в охранных зонах кабельных линий электропередачи запрещается укладывать груз на электрические кабели, на краю откоса или траншеи. Падение груза в траншею может повредить кабельную линию</w:t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при проведении земляных работ обнаружен кабель, не указанный в технической документации на производство работ: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прекратите работы;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примите меры к обеспечению сохранности кабеля;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сообщите об этом в ПАО «Россети Северо-Запад» по телефону бесплатной «горячей линии» 8-800-220-0-220, либо органу   исполнительной   власти, уполномоченному на осуществление технического контроля и надзора в электроэнергетике.</w:t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1134" w:leader="none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механического повреждения кабельной линии необходимо: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немедленно прекратить земляные работы;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удалить на безопасное расстояние людей и технику – не менее чем на 8 метров от поврежденного кабеля;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1134" w:leader="none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сообщить сетевой организации, владеющей кабельной линией: ПАО «Россети Северо-Запад» по телефону бесплатной «горячей линии» 8-800-220-0-220.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услугам населения работают телефоны горячей линии Псковского филиала 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ПАО «Россети Северо-Запад»: 8-800-220-0-220.</w:t>
      </w:r>
    </w:p>
    <w:p>
      <w:pPr>
        <w:pStyle w:val="Normal"/>
        <w:tabs>
          <w:tab w:val="clear" w:pos="709"/>
          <w:tab w:val="left" w:pos="1134" w:leader="none"/>
          <w:tab w:val="left" w:pos="2191" w:leader="none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Единый телефон службы спасения – 01, с мобильного – 112</w:t>
      </w:r>
    </w:p>
    <w:sectPr>
      <w:headerReference w:type="default" r:id="rId10"/>
      <w:headerReference w:type="first" r:id="rId11"/>
      <w:type w:val="nextPage"/>
      <w:pgSz w:w="11906" w:h="16838"/>
      <w:pgMar w:left="1134" w:right="567" w:gutter="0" w:header="425" w:top="52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PF Din Text Cond Pro Light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1821815" cy="640715"/>
          <wp:effectExtent l="0" t="0" r="0" b="0"/>
          <wp:wrapNone/>
          <wp:docPr id="1" name="Рисунок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-60960</wp:posOffset>
              </wp:positionV>
              <wp:extent cx="2419350" cy="678815"/>
              <wp:effectExtent l="0" t="0" r="0" b="0"/>
              <wp:wrapNone/>
              <wp:docPr id="2" name="Поле 30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9200" cy="6789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spacing w:lineRule="exact" w:line="200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Псковский филиал </w:t>
                          </w:r>
                        </w:p>
                        <w:p>
                          <w:pPr>
                            <w:pStyle w:val="Style22"/>
                            <w:spacing w:lineRule="exact" w:line="200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 xml:space="preserve">публичного акционерного общества </w:t>
                          </w:r>
                        </w:p>
                        <w:p>
                          <w:pPr>
                            <w:pStyle w:val="Style22"/>
                            <w:spacing w:lineRule="exact" w:line="200"/>
                            <w:jc w:val="center"/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8"/>
                              <w:szCs w:val="18"/>
                            </w:rPr>
                            <w:t>«Россети Северо-Запад»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Поле 307" path="m0,0l-2147483645,0l-2147483645,-2147483646l0,-2147483646xe" stroked="f" o:allowincell="f" style="position:absolute;margin-left:319.7pt;margin-top:-4.8pt;width:190.45pt;height:53.4pt;mso-wrap-style:square;v-text-anchor:top;mso-position-horizontal:right;mso-position-horizontal-relative:margin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Style22"/>
                      <w:spacing w:lineRule="exact" w:line="200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Псковский филиал </w:t>
                    </w:r>
                  </w:p>
                  <w:p>
                    <w:pPr>
                      <w:pStyle w:val="Style22"/>
                      <w:spacing w:lineRule="exact" w:line="200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 xml:space="preserve">публичного акционерного общества </w:t>
                    </w:r>
                  </w:p>
                  <w:p>
                    <w:pPr>
                      <w:pStyle w:val="Style22"/>
                      <w:spacing w:lineRule="exact" w:line="200"/>
                      <w:jc w:val="center"/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</w:pPr>
                    <w:r>
                      <w:rPr>
                        <w:rFonts w:ascii="PF Din Text Cond Pro Light" w:hAnsi="PF Din Text Cond Pro Light"/>
                        <w:sz w:val="18"/>
                        <w:szCs w:val="18"/>
                      </w:rPr>
                      <w:t>«Россети Северо-Запад»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32078646"/>
    </w:sdtPr>
    <w:sdtContent>
      <w:p>
        <w:pPr>
          <w:pStyle w:val="Style2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Normal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03533389"/>
    </w:sdtPr>
    <w:sdtContent>
      <w:p>
        <w:pPr>
          <w:pStyle w:val="Style20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Normal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spacing w:before="240" w:after="0"/>
      <w:outlineLvl w:val="0"/>
    </w:pPr>
    <w:rPr>
      <w:rFonts w:ascii="Cambria" w:hAnsi="Cambria" w:eastAsia="宋体" w:cs="Arial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7">
    <w:name w:val="Heading 7"/>
    <w:basedOn w:val="Normal"/>
    <w:next w:val="Normal"/>
    <w:link w:val="71"/>
    <w:qFormat/>
    <w:pPr>
      <w:keepNext w:val="true"/>
      <w:outlineLvl w:val="6"/>
    </w:pPr>
    <w:rPr/>
  </w:style>
  <w:style w:type="paragraph" w:styleId="8">
    <w:name w:val="Heading 8"/>
    <w:basedOn w:val="Normal"/>
    <w:next w:val="Normal"/>
    <w:link w:val="81"/>
    <w:semiHidden/>
    <w:unhideWhenUsed/>
    <w:qFormat/>
    <w:pPr>
      <w:keepNext w:val="true"/>
      <w:keepLines/>
      <w:spacing w:before="40" w:after="0"/>
      <w:outlineLvl w:val="7"/>
    </w:pPr>
    <w:rPr>
      <w:rFonts w:ascii="Cambria" w:hAnsi="Cambria" w:eastAsia="宋体" w:cs="Arial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71" w:customStyle="1">
    <w:name w:val="Заголовок 7 Знак"/>
    <w:basedOn w:val="DefaultParagraphFont"/>
    <w:qFormat/>
    <w:rPr>
      <w:sz w:val="24"/>
    </w:rPr>
  </w:style>
  <w:style w:type="character" w:styleId="Style12" w:customStyle="1">
    <w:name w:val="Верхний колонтитул Знак"/>
    <w:basedOn w:val="DefaultParagraphFont"/>
    <w:uiPriority w:val="99"/>
    <w:qFormat/>
    <w:rPr/>
  </w:style>
  <w:style w:type="character" w:styleId="Style13" w:customStyle="1">
    <w:name w:val="Нижний колонтитул Знак"/>
    <w:basedOn w:val="DefaultParagraphFont"/>
    <w:qFormat/>
    <w:rPr>
      <w:sz w:val="24"/>
    </w:rPr>
  </w:style>
  <w:style w:type="character" w:styleId="81" w:customStyle="1">
    <w:name w:val="Заголовок 8 Знак"/>
    <w:basedOn w:val="DefaultParagraphFont"/>
    <w:semiHidden/>
    <w:qFormat/>
    <w:rPr>
      <w:rFonts w:ascii="Cambria" w:hAnsi="Cambria" w:eastAsia="宋体" w:cs="Arial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11" w:customStyle="1">
    <w:name w:val="Заголовок 1 Знак"/>
    <w:basedOn w:val="DefaultParagraphFont"/>
    <w:qFormat/>
    <w:rPr>
      <w:rFonts w:ascii="Cambria" w:hAnsi="Cambria" w:eastAsia="宋体" w:cs="Arial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Style11"/>
    <w:qFormat/>
    <w:pPr/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link w:val="Style12"/>
    <w:uiPriority w:val="99"/>
    <w:pPr>
      <w:widowControl w:val="false"/>
      <w:tabs>
        <w:tab w:val="clear" w:pos="709"/>
        <w:tab w:val="center" w:pos="4677" w:leader="none"/>
        <w:tab w:val="right" w:pos="9355" w:leader="none"/>
      </w:tabs>
    </w:pPr>
    <w:rPr>
      <w:sz w:val="2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1">
    <w:name w:val="Footer"/>
    <w:basedOn w:val="Normal"/>
    <w:link w:val="Style13"/>
    <w:unhideWhenUsed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aa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протокола без утверждаю</Template>
  <TotalTime>5</TotalTime>
  <Application>LibreOffice/7.5.5.2$Windows_X86_64 LibreOffice_project/ca8fe7424262805f223b9a2334bc7181abbcbf5e</Application>
  <AppVersion>15.0000</AppVersion>
  <Pages>6</Pages>
  <Words>872</Words>
  <Characters>5716</Characters>
  <CharactersWithSpaces>6532</CharactersWithSpaces>
  <Paragraphs>64</Paragraphs>
  <Company>МРСК Северо-Запада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2024-10-23T11:14:00Z</dcterms:created>
  <dc:creator>Поздеева Елена Сергеевна</dc:creator>
  <dc:description/>
  <dc:language>ru-RU</dc:language>
  <cp:lastModifiedBy>psk01248</cp:lastModifiedBy>
  <dcterms:modified xsi:type="dcterms:W3CDTF">2024-10-23T11:31:00Z</dcterms:modified>
  <cp:revision>3</cp:revision>
  <dc:subject/>
  <dc:title>ОТКРЫТОЕ АКЦИОНЕРНОЕ ОБЩЕСТВО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